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b/>
          <w:bCs/>
          <w:sz w:val="36"/>
          <w:szCs w:val="36"/>
        </w:rPr>
      </w:pPr>
      <w:r>
        <w:rPr>
          <w:rFonts w:hint="eastAsia"/>
          <w:b/>
          <w:bCs/>
          <w:sz w:val="36"/>
          <w:szCs w:val="36"/>
        </w:rPr>
        <w:t>施工图设计文件审查意见单</w:t>
      </w:r>
    </w:p>
    <w:p>
      <w:pPr>
        <w:jc w:val="center"/>
        <w:rPr>
          <w:sz w:val="24"/>
        </w:rPr>
      </w:pPr>
    </w:p>
    <w:tbl>
      <w:tblPr>
        <w:tblStyle w:val="5"/>
        <w:tblW w:w="10400"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1059"/>
        <w:gridCol w:w="4783"/>
        <w:gridCol w:w="1815"/>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42" w:type="dxa"/>
            <w:gridSpan w:val="2"/>
            <w:noWrap/>
            <w:vAlign w:val="center"/>
          </w:tcPr>
          <w:p>
            <w:pPr>
              <w:jc w:val="center"/>
              <w:rPr>
                <w:sz w:val="24"/>
                <w:highlight w:val="none"/>
              </w:rPr>
            </w:pPr>
            <w:r>
              <w:rPr>
                <w:rFonts w:hint="eastAsia"/>
                <w:sz w:val="24"/>
                <w:highlight w:val="none"/>
              </w:rPr>
              <w:t>设计单位</w:t>
            </w:r>
          </w:p>
        </w:tc>
        <w:tc>
          <w:tcPr>
            <w:tcW w:w="4783" w:type="dxa"/>
            <w:noWrap/>
            <w:vAlign w:val="center"/>
          </w:tcPr>
          <w:p>
            <w:pPr>
              <w:rPr>
                <w:sz w:val="24"/>
                <w:highlight w:val="none"/>
              </w:rPr>
            </w:pPr>
            <w:r>
              <w:rPr>
                <w:rFonts w:hint="eastAsia"/>
                <w:sz w:val="24"/>
                <w:highlight w:val="none"/>
                <w:lang w:val="en-US" w:eastAsia="zh-CN"/>
              </w:rPr>
              <w:t>广东名都设计</w:t>
            </w:r>
            <w:r>
              <w:rPr>
                <w:rFonts w:hint="eastAsia"/>
                <w:sz w:val="24"/>
                <w:highlight w:val="none"/>
              </w:rPr>
              <w:t>有限公司</w:t>
            </w:r>
          </w:p>
        </w:tc>
        <w:tc>
          <w:tcPr>
            <w:tcW w:w="1815" w:type="dxa"/>
            <w:noWrap/>
            <w:vAlign w:val="center"/>
          </w:tcPr>
          <w:p>
            <w:pPr>
              <w:jc w:val="center"/>
              <w:rPr>
                <w:sz w:val="24"/>
                <w:highlight w:val="none"/>
              </w:rPr>
            </w:pPr>
            <w:r>
              <w:rPr>
                <w:rFonts w:hint="eastAsia" w:ascii="宋体" w:hAnsi="宋体" w:cs="宋体"/>
                <w:sz w:val="24"/>
                <w:highlight w:val="none"/>
              </w:rPr>
              <w:t>项目编号</w:t>
            </w:r>
          </w:p>
        </w:tc>
        <w:tc>
          <w:tcPr>
            <w:tcW w:w="1860" w:type="dxa"/>
            <w:noWrap/>
            <w:vAlign w:val="center"/>
          </w:tcPr>
          <w:p>
            <w:pPr>
              <w:jc w:val="cente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42" w:type="dxa"/>
            <w:gridSpan w:val="2"/>
            <w:noWrap/>
            <w:vAlign w:val="center"/>
          </w:tcPr>
          <w:p>
            <w:pPr>
              <w:jc w:val="center"/>
              <w:rPr>
                <w:sz w:val="24"/>
                <w:highlight w:val="none"/>
              </w:rPr>
            </w:pPr>
            <w:r>
              <w:rPr>
                <w:rFonts w:hint="eastAsia"/>
                <w:sz w:val="24"/>
                <w:highlight w:val="none"/>
              </w:rPr>
              <w:t>审查项目名称</w:t>
            </w:r>
          </w:p>
        </w:tc>
        <w:tc>
          <w:tcPr>
            <w:tcW w:w="4783" w:type="dxa"/>
            <w:noWrap/>
            <w:vAlign w:val="center"/>
          </w:tcPr>
          <w:p>
            <w:pPr>
              <w:rPr>
                <w:sz w:val="24"/>
                <w:highlight w:val="none"/>
              </w:rPr>
            </w:pPr>
            <w:r>
              <w:rPr>
                <w:rFonts w:hint="eastAsia"/>
                <w:sz w:val="24"/>
                <w:highlight w:val="none"/>
              </w:rPr>
              <w:t>市教育局广州卫生职业技术学院白云校区基础设施修缮(实训室、网球场、多功能体育场地及门岗等) 维护维修</w:t>
            </w:r>
          </w:p>
        </w:tc>
        <w:tc>
          <w:tcPr>
            <w:tcW w:w="1815" w:type="dxa"/>
            <w:noWrap/>
            <w:vAlign w:val="center"/>
          </w:tcPr>
          <w:p>
            <w:pPr>
              <w:jc w:val="center"/>
              <w:rPr>
                <w:sz w:val="24"/>
                <w:highlight w:val="none"/>
              </w:rPr>
            </w:pPr>
            <w:r>
              <w:rPr>
                <w:rFonts w:hint="eastAsia"/>
                <w:sz w:val="24"/>
                <w:highlight w:val="none"/>
              </w:rPr>
              <w:t>审查专业</w:t>
            </w:r>
          </w:p>
        </w:tc>
        <w:tc>
          <w:tcPr>
            <w:tcW w:w="1860" w:type="dxa"/>
            <w:noWrap/>
            <w:vAlign w:val="center"/>
          </w:tcPr>
          <w:p>
            <w:pPr>
              <w:jc w:val="center"/>
              <w:rPr>
                <w:sz w:val="24"/>
                <w:highlight w:val="none"/>
              </w:rPr>
            </w:pPr>
            <w:r>
              <w:rPr>
                <w:rFonts w:hint="eastAsia"/>
                <w:sz w:val="24"/>
                <w:highlight w:val="none"/>
              </w:rPr>
              <w:t>电气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83" w:type="dxa"/>
            <w:noWrap/>
            <w:vAlign w:val="center"/>
          </w:tcPr>
          <w:p>
            <w:pPr>
              <w:jc w:val="center"/>
              <w:rPr>
                <w:sz w:val="24"/>
                <w:highlight w:val="none"/>
              </w:rPr>
            </w:pPr>
            <w:r>
              <w:rPr>
                <w:rFonts w:hint="eastAsia"/>
                <w:sz w:val="24"/>
                <w:highlight w:val="none"/>
              </w:rPr>
              <w:t>序号</w:t>
            </w:r>
          </w:p>
        </w:tc>
        <w:tc>
          <w:tcPr>
            <w:tcW w:w="5842" w:type="dxa"/>
            <w:gridSpan w:val="2"/>
            <w:noWrap/>
            <w:vAlign w:val="center"/>
          </w:tcPr>
          <w:p>
            <w:pPr>
              <w:jc w:val="center"/>
              <w:rPr>
                <w:sz w:val="24"/>
                <w:highlight w:val="none"/>
              </w:rPr>
            </w:pPr>
            <w:r>
              <w:rPr>
                <w:rFonts w:hint="eastAsia"/>
                <w:sz w:val="24"/>
                <w:highlight w:val="none"/>
              </w:rPr>
              <w:t>审查意见概述</w:t>
            </w:r>
          </w:p>
          <w:p>
            <w:pPr>
              <w:jc w:val="center"/>
              <w:rPr>
                <w:sz w:val="24"/>
                <w:highlight w:val="none"/>
              </w:rPr>
            </w:pPr>
            <w:r>
              <w:rPr>
                <w:rFonts w:hint="eastAsia"/>
                <w:sz w:val="24"/>
                <w:highlight w:val="none"/>
              </w:rPr>
              <w:t>（审查人填写）</w:t>
            </w:r>
          </w:p>
        </w:tc>
        <w:tc>
          <w:tcPr>
            <w:tcW w:w="1815" w:type="dxa"/>
            <w:noWrap/>
            <w:vAlign w:val="center"/>
          </w:tcPr>
          <w:p>
            <w:pPr>
              <w:jc w:val="center"/>
              <w:rPr>
                <w:sz w:val="24"/>
                <w:highlight w:val="none"/>
              </w:rPr>
            </w:pPr>
            <w:r>
              <w:rPr>
                <w:rFonts w:hint="eastAsia"/>
                <w:sz w:val="24"/>
                <w:highlight w:val="none"/>
              </w:rPr>
              <w:t>回复意见</w:t>
            </w:r>
          </w:p>
          <w:p>
            <w:pPr>
              <w:jc w:val="center"/>
              <w:rPr>
                <w:sz w:val="24"/>
                <w:highlight w:val="none"/>
              </w:rPr>
            </w:pPr>
            <w:r>
              <w:rPr>
                <w:rFonts w:hint="eastAsia"/>
                <w:sz w:val="24"/>
                <w:highlight w:val="none"/>
              </w:rPr>
              <w:t>（设计人填写）</w:t>
            </w:r>
          </w:p>
        </w:tc>
        <w:tc>
          <w:tcPr>
            <w:tcW w:w="1860" w:type="dxa"/>
            <w:noWrap/>
            <w:vAlign w:val="center"/>
          </w:tcPr>
          <w:p>
            <w:pPr>
              <w:jc w:val="center"/>
              <w:rPr>
                <w:sz w:val="24"/>
                <w:highlight w:val="none"/>
              </w:rPr>
            </w:pPr>
            <w:r>
              <w:rPr>
                <w:rFonts w:hint="eastAsia"/>
                <w:sz w:val="24"/>
                <w:highlight w:val="none"/>
              </w:rPr>
              <w:t>修改落实情况（审查人填写）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83" w:type="dxa"/>
            <w:noWrap/>
            <w:vAlign w:val="center"/>
          </w:tcPr>
          <w:p>
            <w:pPr>
              <w:jc w:val="center"/>
              <w:rPr>
                <w:b/>
                <w:bCs/>
                <w:sz w:val="24"/>
                <w:highlight w:val="none"/>
              </w:rPr>
            </w:pPr>
            <w:r>
              <w:rPr>
                <w:rFonts w:hint="eastAsia"/>
                <w:b/>
                <w:bCs/>
                <w:sz w:val="24"/>
                <w:highlight w:val="none"/>
              </w:rPr>
              <w:t>一</w:t>
            </w:r>
          </w:p>
        </w:tc>
        <w:tc>
          <w:tcPr>
            <w:tcW w:w="5842" w:type="dxa"/>
            <w:gridSpan w:val="2"/>
            <w:noWrap/>
            <w:vAlign w:val="center"/>
          </w:tcPr>
          <w:p>
            <w:pPr>
              <w:jc w:val="left"/>
              <w:rPr>
                <w:sz w:val="24"/>
                <w:highlight w:val="none"/>
              </w:rPr>
            </w:pPr>
            <w:r>
              <w:rPr>
                <w:rFonts w:hint="eastAsia"/>
                <w:b/>
                <w:bCs/>
                <w:sz w:val="24"/>
                <w:highlight w:val="none"/>
              </w:rPr>
              <w:t>违反建设工程强制性条文方面：</w:t>
            </w:r>
          </w:p>
        </w:tc>
        <w:tc>
          <w:tcPr>
            <w:tcW w:w="1815" w:type="dxa"/>
            <w:noWrap/>
            <w:vAlign w:val="center"/>
          </w:tcPr>
          <w:p>
            <w:pPr>
              <w:jc w:val="left"/>
              <w:rPr>
                <w:b/>
                <w:bCs/>
                <w:sz w:val="24"/>
                <w:highlight w:val="none"/>
              </w:rPr>
            </w:pPr>
          </w:p>
        </w:tc>
        <w:tc>
          <w:tcPr>
            <w:tcW w:w="1860" w:type="dxa"/>
            <w:noWrap/>
            <w:vAlign w:val="center"/>
          </w:tcPr>
          <w:p>
            <w:pPr>
              <w:jc w:val="left"/>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83" w:type="dxa"/>
            <w:noWrap/>
            <w:vAlign w:val="center"/>
          </w:tcPr>
          <w:p>
            <w:pPr>
              <w:jc w:val="center"/>
              <w:rPr>
                <w:szCs w:val="21"/>
                <w:highlight w:val="none"/>
              </w:rPr>
            </w:pPr>
            <w:r>
              <w:rPr>
                <w:szCs w:val="21"/>
                <w:highlight w:val="none"/>
              </w:rPr>
              <w:t>1</w:t>
            </w:r>
          </w:p>
        </w:tc>
        <w:tc>
          <w:tcPr>
            <w:tcW w:w="5842" w:type="dxa"/>
            <w:gridSpan w:val="2"/>
            <w:noWrap/>
            <w:vAlign w:val="center"/>
          </w:tcPr>
          <w:p>
            <w:pPr>
              <w:jc w:val="left"/>
              <w:rPr>
                <w:szCs w:val="21"/>
                <w:highlight w:val="none"/>
              </w:rPr>
            </w:pPr>
            <w:r>
              <w:rPr>
                <w:rFonts w:hint="eastAsia"/>
                <w:szCs w:val="21"/>
                <w:highlight w:val="none"/>
              </w:rPr>
              <w:t>无</w:t>
            </w:r>
          </w:p>
        </w:tc>
        <w:tc>
          <w:tcPr>
            <w:tcW w:w="1815" w:type="dxa"/>
            <w:noWrap/>
            <w:vAlign w:val="center"/>
          </w:tcPr>
          <w:p>
            <w:pPr>
              <w:jc w:val="left"/>
              <w:rPr>
                <w:szCs w:val="21"/>
                <w:highlight w:val="none"/>
              </w:rPr>
            </w:pPr>
          </w:p>
        </w:tc>
        <w:tc>
          <w:tcPr>
            <w:tcW w:w="1860" w:type="dxa"/>
            <w:noWrap/>
            <w:vAlign w:val="center"/>
          </w:tcPr>
          <w:p>
            <w:pPr>
              <w:jc w:val="left"/>
              <w:rPr>
                <w:color w:val="FF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83" w:type="dxa"/>
            <w:noWrap/>
            <w:vAlign w:val="center"/>
          </w:tcPr>
          <w:p>
            <w:pPr>
              <w:jc w:val="center"/>
              <w:rPr>
                <w:b/>
                <w:bCs/>
                <w:sz w:val="24"/>
                <w:highlight w:val="none"/>
              </w:rPr>
            </w:pPr>
            <w:r>
              <w:rPr>
                <w:rFonts w:hint="eastAsia"/>
                <w:b/>
                <w:bCs/>
                <w:sz w:val="24"/>
                <w:highlight w:val="none"/>
              </w:rPr>
              <w:t>二</w:t>
            </w:r>
          </w:p>
        </w:tc>
        <w:tc>
          <w:tcPr>
            <w:tcW w:w="5842" w:type="dxa"/>
            <w:gridSpan w:val="2"/>
            <w:noWrap/>
            <w:vAlign w:val="center"/>
          </w:tcPr>
          <w:p>
            <w:pPr>
              <w:jc w:val="left"/>
              <w:rPr>
                <w:sz w:val="24"/>
                <w:highlight w:val="none"/>
              </w:rPr>
            </w:pPr>
            <w:r>
              <w:rPr>
                <w:rFonts w:hint="eastAsia"/>
                <w:b/>
                <w:bCs/>
                <w:sz w:val="24"/>
                <w:highlight w:val="none"/>
              </w:rPr>
              <w:t>违反专业规范、规程和设计深度不足方面：</w:t>
            </w:r>
          </w:p>
        </w:tc>
        <w:tc>
          <w:tcPr>
            <w:tcW w:w="1815" w:type="dxa"/>
            <w:noWrap/>
            <w:vAlign w:val="center"/>
          </w:tcPr>
          <w:p>
            <w:pPr>
              <w:jc w:val="left"/>
              <w:rPr>
                <w:sz w:val="24"/>
                <w:highlight w:val="none"/>
              </w:rPr>
            </w:pPr>
          </w:p>
        </w:tc>
        <w:tc>
          <w:tcPr>
            <w:tcW w:w="1860" w:type="dxa"/>
            <w:noWrap/>
            <w:vAlign w:val="center"/>
          </w:tcPr>
          <w:p>
            <w:pPr>
              <w:jc w:val="left"/>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83" w:type="dxa"/>
            <w:noWrap/>
            <w:vAlign w:val="center"/>
          </w:tcPr>
          <w:p>
            <w:pPr>
              <w:jc w:val="center"/>
              <w:rPr>
                <w:szCs w:val="21"/>
                <w:highlight w:val="none"/>
              </w:rPr>
            </w:pPr>
            <w:r>
              <w:rPr>
                <w:rFonts w:hint="eastAsia"/>
                <w:szCs w:val="21"/>
                <w:highlight w:val="none"/>
              </w:rPr>
              <w:t>1</w:t>
            </w:r>
          </w:p>
        </w:tc>
        <w:tc>
          <w:tcPr>
            <w:tcW w:w="5842" w:type="dxa"/>
            <w:gridSpan w:val="2"/>
            <w:noWrap/>
            <w:vAlign w:val="center"/>
          </w:tcPr>
          <w:p>
            <w:pPr>
              <w:pStyle w:val="11"/>
              <w:numPr>
                <w:ilvl w:val="0"/>
                <w:numId w:val="1"/>
              </w:numPr>
              <w:ind w:firstLineChars="0"/>
              <w:jc w:val="left"/>
              <w:rPr>
                <w:rFonts w:ascii="宋体" w:hAnsi="宋体"/>
                <w:b/>
                <w:sz w:val="24"/>
                <w:highlight w:val="none"/>
              </w:rPr>
            </w:pPr>
            <w:r>
              <w:rPr>
                <w:rFonts w:hint="eastAsia" w:ascii="宋体" w:hAnsi="宋体"/>
                <w:b/>
                <w:sz w:val="24"/>
                <w:highlight w:val="none"/>
                <w:lang w:val="en-US" w:eastAsia="zh-CN"/>
              </w:rPr>
              <w:t>电气设计说明第13点</w:t>
            </w:r>
            <w:r>
              <w:rPr>
                <w:rFonts w:hint="eastAsia" w:ascii="宋体" w:hAnsi="宋体"/>
                <w:b/>
                <w:sz w:val="24"/>
                <w:highlight w:val="none"/>
              </w:rPr>
              <w:t>，照明功率密度</w:t>
            </w:r>
            <w:r>
              <w:rPr>
                <w:rFonts w:hint="eastAsia" w:ascii="宋体" w:hAnsi="宋体"/>
                <w:b/>
                <w:sz w:val="24"/>
                <w:highlight w:val="none"/>
                <w:lang w:val="en-US" w:eastAsia="zh-CN"/>
              </w:rPr>
              <w:t>限</w:t>
            </w:r>
            <w:r>
              <w:rPr>
                <w:rFonts w:hint="eastAsia" w:ascii="宋体" w:hAnsi="宋体"/>
                <w:b/>
                <w:sz w:val="24"/>
                <w:highlight w:val="none"/>
              </w:rPr>
              <w:t>值应按照《建筑节能与可再生能源利用通用规范》GB55015-2021/3.3选用；照明功率密度</w:t>
            </w:r>
            <w:r>
              <w:rPr>
                <w:rFonts w:hint="eastAsia" w:ascii="宋体" w:hAnsi="宋体"/>
                <w:b/>
                <w:sz w:val="24"/>
                <w:highlight w:val="none"/>
                <w:lang w:val="en-US" w:eastAsia="zh-CN"/>
              </w:rPr>
              <w:t>限</w:t>
            </w:r>
            <w:r>
              <w:rPr>
                <w:rFonts w:hint="eastAsia" w:ascii="宋体" w:hAnsi="宋体"/>
                <w:b/>
                <w:sz w:val="24"/>
                <w:highlight w:val="none"/>
              </w:rPr>
              <w:t>值</w:t>
            </w:r>
            <w:r>
              <w:rPr>
                <w:rFonts w:hint="eastAsia" w:ascii="宋体" w:hAnsi="宋体"/>
                <w:b/>
                <w:sz w:val="24"/>
                <w:highlight w:val="none"/>
                <w:lang w:val="en-US" w:eastAsia="zh-CN"/>
              </w:rPr>
              <w:t>均不对，300.200.500对应</w:t>
            </w:r>
            <w:r>
              <w:rPr>
                <w:rFonts w:hint="eastAsia" w:ascii="宋体" w:hAnsi="宋体"/>
                <w:b/>
                <w:sz w:val="24"/>
                <w:highlight w:val="none"/>
              </w:rPr>
              <w:t>照明功率密度</w:t>
            </w:r>
            <w:r>
              <w:rPr>
                <w:rFonts w:hint="eastAsia" w:ascii="宋体" w:hAnsi="宋体"/>
                <w:b/>
                <w:sz w:val="24"/>
                <w:highlight w:val="none"/>
                <w:lang w:val="en-US" w:eastAsia="zh-CN"/>
              </w:rPr>
              <w:t>限</w:t>
            </w:r>
            <w:r>
              <w:rPr>
                <w:rFonts w:hint="eastAsia" w:ascii="宋体" w:hAnsi="宋体"/>
                <w:b/>
                <w:sz w:val="24"/>
                <w:highlight w:val="none"/>
              </w:rPr>
              <w:t>值</w:t>
            </w:r>
            <w:r>
              <w:rPr>
                <w:rFonts w:hint="eastAsia" w:ascii="宋体" w:hAnsi="宋体"/>
                <w:b/>
                <w:sz w:val="24"/>
                <w:highlight w:val="none"/>
                <w:lang w:val="en-US" w:eastAsia="zh-CN"/>
              </w:rPr>
              <w:t>都是9w/m2!!!</w:t>
            </w:r>
          </w:p>
          <w:p>
            <w:pPr>
              <w:pStyle w:val="11"/>
              <w:numPr>
                <w:ilvl w:val="0"/>
                <w:numId w:val="1"/>
              </w:numPr>
              <w:ind w:firstLineChars="0"/>
              <w:jc w:val="left"/>
              <w:rPr>
                <w:rFonts w:ascii="宋体" w:hAnsi="宋体"/>
                <w:b/>
                <w:bCs/>
                <w:sz w:val="24"/>
                <w:highlight w:val="none"/>
              </w:rPr>
            </w:pPr>
            <w:r>
              <w:rPr>
                <w:rFonts w:hint="eastAsia" w:ascii="宋体" w:hAnsi="宋体"/>
                <w:b/>
                <w:bCs/>
                <w:sz w:val="24"/>
                <w:highlight w:val="none"/>
              </w:rPr>
              <w:t>《建筑电气与智能化通用规范》GB50024-2022/4. 3. 1 由建筑物外引入的低压电源线路，应在总配电箱（柜）的受电端装设具有隔离功能的电器；</w:t>
            </w:r>
            <w:r>
              <w:rPr>
                <w:rFonts w:hint="eastAsia" w:ascii="宋体" w:hAnsi="宋体"/>
                <w:b/>
                <w:bCs/>
                <w:sz w:val="24"/>
                <w:highlight w:val="none"/>
                <w:lang w:val="en-US" w:eastAsia="zh-CN"/>
              </w:rPr>
              <w:t>请明确各栋电源是否进过室外引致配电箱，如是应满足此条要求；</w:t>
            </w:r>
          </w:p>
          <w:p>
            <w:pPr>
              <w:pStyle w:val="11"/>
              <w:numPr>
                <w:ilvl w:val="0"/>
                <w:numId w:val="1"/>
              </w:numPr>
              <w:ind w:firstLineChars="0"/>
              <w:jc w:val="left"/>
              <w:rPr>
                <w:rFonts w:ascii="宋体" w:hAnsi="宋体"/>
                <w:b/>
                <w:sz w:val="24"/>
                <w:highlight w:val="none"/>
              </w:rPr>
            </w:pPr>
            <w:r>
              <w:rPr>
                <w:rFonts w:hint="eastAsia" w:ascii="宋体" w:hAnsi="宋体"/>
                <w:b/>
                <w:sz w:val="24"/>
                <w:highlight w:val="none"/>
              </w:rPr>
              <w:t>《建筑物防雷设计规范》GB50057-2010</w:t>
            </w:r>
            <w:r>
              <w:rPr>
                <w:rFonts w:hint="eastAsia" w:ascii="宋体" w:hAnsi="宋体"/>
                <w:b/>
                <w:bCs/>
                <w:sz w:val="24"/>
                <w:highlight w:val="none"/>
              </w:rPr>
              <w:t>第4.3.8条</w:t>
            </w:r>
            <w:r>
              <w:rPr>
                <w:rFonts w:hint="eastAsia" w:ascii="宋体" w:hAnsi="宋体"/>
                <w:b/>
                <w:bCs/>
                <w:sz w:val="24"/>
                <w:highlight w:val="none"/>
                <w:lang w:val="en-US" w:eastAsia="zh-CN"/>
              </w:rPr>
              <w:t>各栋</w:t>
            </w:r>
            <w:r>
              <w:rPr>
                <w:rFonts w:hint="eastAsia" w:ascii="宋体" w:hAnsi="宋体"/>
                <w:b/>
                <w:bCs/>
                <w:sz w:val="24"/>
                <w:highlight w:val="none"/>
              </w:rPr>
              <w:t>配电箱</w:t>
            </w:r>
            <w:r>
              <w:rPr>
                <w:rFonts w:hint="eastAsia" w:ascii="宋体" w:hAnsi="宋体"/>
                <w:b/>
                <w:bCs/>
                <w:sz w:val="24"/>
                <w:highlight w:val="none"/>
                <w:lang w:val="en-US" w:eastAsia="zh-CN"/>
              </w:rPr>
              <w:t>电源</w:t>
            </w:r>
            <w:r>
              <w:rPr>
                <w:rFonts w:hint="eastAsia" w:ascii="宋体" w:hAnsi="宋体"/>
                <w:b/>
                <w:bCs/>
                <w:sz w:val="24"/>
                <w:highlight w:val="none"/>
              </w:rPr>
              <w:t>经过室外引接至本栋建筑，进线处应设置一级浪涌保护器，并重复接地；</w:t>
            </w:r>
            <w:r>
              <w:rPr>
                <w:rFonts w:hint="eastAsia" w:ascii="宋体" w:hAnsi="宋体"/>
                <w:b/>
                <w:bCs/>
                <w:sz w:val="24"/>
                <w:highlight w:val="none"/>
                <w:lang w:val="en-US" w:eastAsia="zh-CN"/>
              </w:rPr>
              <w:t>请明确各栋电源是否进过室外引致配电箱，如是应满足此条要求；电源进线处应标清楚引致本栋室内配电箱；</w:t>
            </w:r>
          </w:p>
          <w:p>
            <w:pPr>
              <w:pStyle w:val="11"/>
              <w:numPr>
                <w:ilvl w:val="0"/>
                <w:numId w:val="1"/>
              </w:numPr>
              <w:ind w:firstLineChars="0"/>
              <w:jc w:val="left"/>
              <w:rPr>
                <w:rFonts w:ascii="宋体" w:hAnsi="宋体"/>
                <w:b/>
                <w:sz w:val="24"/>
                <w:highlight w:val="none"/>
              </w:rPr>
            </w:pPr>
            <w:r>
              <w:rPr>
                <w:rFonts w:hint="eastAsia" w:ascii="宋体" w:hAnsi="宋体"/>
                <w:b/>
                <w:bCs/>
                <w:sz w:val="24"/>
                <w:highlight w:val="none"/>
              </w:rPr>
              <w:t>《建筑电气与智能化通用规范》GB50024-2022/4.5.4当正常照明灯具安装高度在2.5m 及以下，且灯具采用交流低压供电时，应设置剩余电流动作保护电器作为附加防护；设备图例表中应明确各灯具的实际安装高度，根据安装高度判断是否需要设置剩余电流动作保护电器；</w:t>
            </w:r>
          </w:p>
          <w:p>
            <w:pPr>
              <w:pStyle w:val="11"/>
              <w:numPr>
                <w:ilvl w:val="0"/>
                <w:numId w:val="1"/>
              </w:numPr>
              <w:ind w:firstLineChars="0"/>
              <w:jc w:val="left"/>
              <w:rPr>
                <w:rFonts w:ascii="宋体" w:hAnsi="宋体"/>
                <w:b/>
                <w:sz w:val="24"/>
                <w:highlight w:val="none"/>
              </w:rPr>
            </w:pPr>
            <w:r>
              <w:rPr>
                <w:rFonts w:hint="eastAsia" w:ascii="宋体" w:hAnsi="宋体"/>
                <w:b/>
                <w:bCs/>
                <w:sz w:val="24"/>
                <w:highlight w:val="none"/>
              </w:rPr>
              <w:t>《建筑电气与智能化通用规范》GB50024-2022/6.1. 2 导管和电缆槽盒内配电电线的总截面面积不应超过导管或电缆槽盒内截面面积的40% ；电缆槽盒内控制线缆的总截面面积不应超过电缆槽盒内截面面积的50%。</w:t>
            </w:r>
            <w:r>
              <w:rPr>
                <w:rFonts w:hint="eastAsia" w:ascii="宋体" w:hAnsi="宋体"/>
                <w:b/>
                <w:bCs/>
                <w:sz w:val="24"/>
                <w:highlight w:val="none"/>
                <w:lang w:val="en-US" w:eastAsia="zh-CN"/>
              </w:rPr>
              <w:t>补充说明并核查设计是否满足要求；</w:t>
            </w:r>
          </w:p>
          <w:p>
            <w:pPr>
              <w:pStyle w:val="11"/>
              <w:numPr>
                <w:ilvl w:val="0"/>
                <w:numId w:val="1"/>
              </w:numPr>
              <w:ind w:firstLineChars="0"/>
              <w:jc w:val="left"/>
              <w:rPr>
                <w:rFonts w:ascii="宋体" w:hAnsi="宋体"/>
                <w:b/>
                <w:sz w:val="24"/>
                <w:highlight w:val="none"/>
              </w:rPr>
            </w:pPr>
            <w:r>
              <w:rPr>
                <w:rFonts w:hint="eastAsia" w:ascii="宋体" w:hAnsi="宋体"/>
                <w:b/>
                <w:bCs/>
                <w:sz w:val="24"/>
                <w:highlight w:val="none"/>
              </w:rPr>
              <w:t>《建筑电气与智能化通用规范》GB50024-2022/6.2补充室内布线相关要求；</w:t>
            </w:r>
          </w:p>
          <w:p>
            <w:pPr>
              <w:pStyle w:val="11"/>
              <w:numPr>
                <w:ilvl w:val="0"/>
                <w:numId w:val="1"/>
              </w:numPr>
              <w:ind w:firstLineChars="0"/>
              <w:jc w:val="left"/>
              <w:rPr>
                <w:rFonts w:ascii="宋体" w:hAnsi="宋体"/>
                <w:b/>
                <w:sz w:val="24"/>
                <w:highlight w:val="none"/>
              </w:rPr>
            </w:pPr>
            <w:r>
              <w:rPr>
                <w:rFonts w:hint="eastAsia" w:ascii="宋体" w:hAnsi="宋体"/>
                <w:b/>
                <w:sz w:val="24"/>
                <w:highlight w:val="none"/>
              </w:rPr>
              <w:t>《建筑节能与可再生能源利用通用规范》GB55015-2021/3. 3. 9 有天然采光的场所，其照明应根据采光状况和建筑使用条件采取分区、分组、按照度或按时段调节的节能控制措施。灯具控制应平行与窗根据天然采光情况来调节控制；</w:t>
            </w:r>
          </w:p>
          <w:p>
            <w:pPr>
              <w:pStyle w:val="11"/>
              <w:numPr>
                <w:ilvl w:val="0"/>
                <w:numId w:val="1"/>
              </w:numPr>
              <w:ind w:firstLineChars="0"/>
              <w:jc w:val="left"/>
              <w:rPr>
                <w:rFonts w:hint="eastAsia" w:ascii="宋体" w:hAnsi="宋体"/>
                <w:b w:val="0"/>
                <w:bCs/>
                <w:sz w:val="24"/>
                <w:highlight w:val="none"/>
              </w:rPr>
            </w:pPr>
            <w:r>
              <w:rPr>
                <w:rFonts w:hint="eastAsia" w:ascii="宋体" w:hAnsi="宋体"/>
                <w:b w:val="0"/>
                <w:bCs/>
                <w:sz w:val="24"/>
                <w:highlight w:val="none"/>
              </w:rPr>
              <w:t>《公共建筑节能设计标准》</w:t>
            </w:r>
            <w:r>
              <w:rPr>
                <w:rFonts w:ascii="宋体" w:hAnsi="宋体"/>
                <w:b w:val="0"/>
                <w:bCs/>
                <w:sz w:val="24"/>
                <w:highlight w:val="none"/>
              </w:rPr>
              <w:t>GB 50189-2015</w:t>
            </w:r>
            <w:r>
              <w:rPr>
                <w:rFonts w:hint="eastAsia" w:ascii="宋体" w:hAnsi="宋体"/>
                <w:b w:val="0"/>
                <w:bCs/>
                <w:sz w:val="24"/>
                <w:highlight w:val="none"/>
              </w:rPr>
              <w:t>/6．3．8 照明控制应符合下列规定：除单一灯具的房间，每个房间的灯具控制开关不宜少于2个，且每个开关所控的光源数不宜多于6盏；</w:t>
            </w:r>
          </w:p>
          <w:p>
            <w:pPr>
              <w:pStyle w:val="11"/>
              <w:numPr>
                <w:ilvl w:val="0"/>
                <w:numId w:val="1"/>
              </w:numPr>
              <w:ind w:firstLineChars="0"/>
              <w:jc w:val="left"/>
              <w:rPr>
                <w:rFonts w:hint="eastAsia" w:ascii="宋体" w:hAnsi="宋体"/>
                <w:b w:val="0"/>
                <w:bCs/>
                <w:sz w:val="24"/>
                <w:highlight w:val="none"/>
              </w:rPr>
            </w:pPr>
            <w:r>
              <w:rPr>
                <w:rFonts w:hint="eastAsia" w:ascii="宋体" w:hAnsi="宋体"/>
                <w:b w:val="0"/>
                <w:bCs/>
                <w:sz w:val="24"/>
                <w:highlight w:val="none"/>
                <w:lang w:val="en-US" w:eastAsia="zh-CN"/>
              </w:rPr>
              <w:t>球场配电箱系统图应设置一级浪涌保护器；</w:t>
            </w:r>
          </w:p>
          <w:p>
            <w:pPr>
              <w:pStyle w:val="11"/>
              <w:numPr>
                <w:ilvl w:val="0"/>
                <w:numId w:val="0"/>
              </w:numPr>
              <w:ind w:leftChars="0"/>
              <w:jc w:val="left"/>
              <w:rPr>
                <w:rFonts w:ascii="宋体" w:hAnsi="宋体"/>
                <w:b/>
                <w:sz w:val="24"/>
                <w:highlight w:val="none"/>
              </w:rPr>
            </w:pPr>
          </w:p>
          <w:p>
            <w:pPr>
              <w:jc w:val="left"/>
              <w:rPr>
                <w:rFonts w:hint="eastAsia" w:ascii="宋体" w:hAnsi="宋体"/>
                <w:bCs/>
                <w:sz w:val="24"/>
                <w:szCs w:val="22"/>
                <w:highlight w:val="none"/>
                <w:lang w:eastAsia="zh-CN"/>
              </w:rPr>
            </w:pPr>
          </w:p>
        </w:tc>
        <w:tc>
          <w:tcPr>
            <w:tcW w:w="1815" w:type="dxa"/>
            <w:noWrap/>
            <w:vAlign w:val="center"/>
          </w:tcPr>
          <w:p>
            <w:pPr>
              <w:jc w:val="left"/>
              <w:rPr>
                <w:rFonts w:hint="eastAsia"/>
                <w:szCs w:val="21"/>
                <w:highlight w:val="none"/>
                <w:lang w:val="en-US" w:eastAsia="zh-CN"/>
              </w:rPr>
            </w:pPr>
            <w:r>
              <w:rPr>
                <w:rFonts w:hint="eastAsia"/>
                <w:szCs w:val="21"/>
                <w:highlight w:val="none"/>
                <w:lang w:val="en-US" w:eastAsia="zh-CN"/>
              </w:rPr>
              <w:t>1：电气说明第13点、均有参考《建筑节能与可再生能源利用通用规范》</w:t>
            </w:r>
          </w:p>
          <w:p>
            <w:pPr>
              <w:jc w:val="left"/>
              <w:rPr>
                <w:rFonts w:hint="eastAsia"/>
                <w:szCs w:val="21"/>
                <w:highlight w:val="none"/>
                <w:lang w:val="en-US" w:eastAsia="zh-CN"/>
              </w:rPr>
            </w:pPr>
            <w:r>
              <w:rPr>
                <w:rFonts w:hint="eastAsia"/>
                <w:szCs w:val="21"/>
                <w:highlight w:val="none"/>
                <w:lang w:val="en-US" w:eastAsia="zh-CN"/>
              </w:rPr>
              <w:t>2：各楼栋无室外电源引致室内配电箱体</w:t>
            </w:r>
          </w:p>
          <w:p>
            <w:pPr>
              <w:jc w:val="left"/>
              <w:rPr>
                <w:rFonts w:hint="eastAsia"/>
                <w:szCs w:val="21"/>
                <w:highlight w:val="none"/>
                <w:lang w:val="en-US" w:eastAsia="zh-CN"/>
              </w:rPr>
            </w:pPr>
            <w:r>
              <w:rPr>
                <w:rFonts w:hint="eastAsia"/>
                <w:szCs w:val="21"/>
                <w:highlight w:val="none"/>
                <w:lang w:val="en-US" w:eastAsia="zh-CN"/>
              </w:rPr>
              <w:t>3：各楼栋无室外电源引致室内配电箱体</w:t>
            </w:r>
          </w:p>
          <w:p>
            <w:pPr>
              <w:jc w:val="left"/>
              <w:rPr>
                <w:rFonts w:hint="default"/>
                <w:szCs w:val="21"/>
                <w:highlight w:val="none"/>
                <w:lang w:val="en-US" w:eastAsia="zh-CN"/>
              </w:rPr>
            </w:pPr>
            <w:r>
              <w:rPr>
                <w:rFonts w:hint="eastAsia"/>
                <w:szCs w:val="21"/>
                <w:highlight w:val="none"/>
                <w:lang w:val="en-US" w:eastAsia="zh-CN"/>
              </w:rPr>
              <w:t>4：按意见补充安装高度（建筑装修图天花统一标高2.8m、无2.5m以下天花、无天花的科室灯具板底安装：H=3.2m）详见平面图云线索引处</w:t>
            </w:r>
          </w:p>
          <w:p>
            <w:pPr>
              <w:jc w:val="left"/>
              <w:rPr>
                <w:rFonts w:hint="eastAsia"/>
                <w:szCs w:val="21"/>
                <w:highlight w:val="none"/>
                <w:lang w:val="en-US" w:eastAsia="zh-CN"/>
              </w:rPr>
            </w:pPr>
            <w:r>
              <w:rPr>
                <w:rFonts w:hint="eastAsia"/>
                <w:szCs w:val="21"/>
                <w:highlight w:val="none"/>
                <w:lang w:val="en-US" w:eastAsia="zh-CN"/>
              </w:rPr>
              <w:t>5：按意见补充说明</w:t>
            </w:r>
          </w:p>
          <w:p>
            <w:pPr>
              <w:jc w:val="left"/>
              <w:rPr>
                <w:rFonts w:hint="eastAsia"/>
                <w:szCs w:val="21"/>
                <w:highlight w:val="none"/>
                <w:lang w:val="en-US" w:eastAsia="zh-CN"/>
              </w:rPr>
            </w:pPr>
            <w:r>
              <w:rPr>
                <w:rFonts w:hint="eastAsia"/>
                <w:szCs w:val="21"/>
                <w:highlight w:val="none"/>
                <w:lang w:val="en-US" w:eastAsia="zh-CN"/>
              </w:rPr>
              <w:t>6:原设计图 DS-SM2已有这部分内容、详见现DS-SM2云线处</w:t>
            </w:r>
          </w:p>
          <w:p>
            <w:pPr>
              <w:jc w:val="left"/>
              <w:rPr>
                <w:rFonts w:hint="eastAsia"/>
                <w:szCs w:val="21"/>
                <w:highlight w:val="none"/>
                <w:lang w:val="en-US" w:eastAsia="zh-CN"/>
              </w:rPr>
            </w:pPr>
            <w:r>
              <w:rPr>
                <w:rFonts w:hint="eastAsia"/>
                <w:szCs w:val="21"/>
                <w:highlight w:val="none"/>
                <w:lang w:val="en-US" w:eastAsia="zh-CN"/>
              </w:rPr>
              <w:t>7:有参考规范依据布置灯具《室内布置灯具仅供使用、预算参考、室内小隔间按一盏灯布置》</w:t>
            </w:r>
          </w:p>
          <w:p>
            <w:pPr>
              <w:jc w:val="left"/>
              <w:rPr>
                <w:rFonts w:hint="default"/>
                <w:szCs w:val="21"/>
                <w:highlight w:val="none"/>
                <w:lang w:val="en-US" w:eastAsia="zh-CN"/>
              </w:rPr>
            </w:pPr>
            <w:r>
              <w:rPr>
                <w:rFonts w:hint="eastAsia"/>
                <w:szCs w:val="21"/>
                <w:highlight w:val="none"/>
                <w:lang w:val="en-US" w:eastAsia="zh-CN"/>
              </w:rPr>
              <w:t>8：按意见调整修改（个别科室采用多联开关、满足不宜多于6盏要求）：详见云线索引处</w:t>
            </w:r>
          </w:p>
          <w:p>
            <w:pPr>
              <w:jc w:val="left"/>
              <w:rPr>
                <w:rFonts w:hint="default"/>
                <w:szCs w:val="21"/>
                <w:highlight w:val="none"/>
                <w:lang w:val="en-US" w:eastAsia="zh-CN"/>
              </w:rPr>
            </w:pPr>
            <w:r>
              <w:rPr>
                <w:rFonts w:hint="eastAsia"/>
                <w:szCs w:val="21"/>
                <w:highlight w:val="none"/>
                <w:lang w:val="en-US" w:eastAsia="zh-CN"/>
              </w:rPr>
              <w:t>9：按意见修改：详见云线索引处</w:t>
            </w:r>
          </w:p>
        </w:tc>
        <w:tc>
          <w:tcPr>
            <w:tcW w:w="1860" w:type="dxa"/>
            <w:noWrap/>
            <w:vAlign w:val="center"/>
          </w:tcPr>
          <w:p>
            <w:pPr>
              <w:jc w:val="left"/>
              <w:rPr>
                <w:rFonts w:hint="eastAsia"/>
                <w:szCs w:val="21"/>
                <w:highlight w:val="none"/>
                <w:lang w:val="en-US" w:eastAsia="zh-CN"/>
              </w:rPr>
            </w:pPr>
          </w:p>
          <w:p>
            <w:pPr>
              <w:jc w:val="left"/>
              <w:rPr>
                <w:rFonts w:hint="eastAsia"/>
                <w:color w:val="0000FF"/>
                <w:szCs w:val="21"/>
                <w:highlight w:val="none"/>
                <w:lang w:val="en-US" w:eastAsia="zh-CN"/>
              </w:rPr>
            </w:pPr>
            <w:r>
              <w:rPr>
                <w:rFonts w:hint="eastAsia"/>
                <w:color w:val="0000FF"/>
                <w:szCs w:val="21"/>
                <w:highlight w:val="none"/>
                <w:lang w:val="en-US" w:eastAsia="zh-CN"/>
              </w:rPr>
              <w:t>1(按意见更正修改、详见蓝色云线就索引)</w:t>
            </w:r>
          </w:p>
          <w:p>
            <w:pPr>
              <w:jc w:val="left"/>
              <w:rPr>
                <w:rFonts w:hint="default"/>
                <w:color w:val="0000FF"/>
                <w:szCs w:val="21"/>
                <w:highlight w:val="none"/>
                <w:lang w:val="en-US" w:eastAsia="zh-CN"/>
              </w:rPr>
            </w:pPr>
            <w:r>
              <w:rPr>
                <w:rFonts w:hint="eastAsia"/>
                <w:color w:val="0000FF"/>
                <w:szCs w:val="21"/>
                <w:highlight w:val="none"/>
                <w:lang w:val="en-US" w:eastAsia="zh-CN"/>
              </w:rPr>
              <w:t>2：补充说明详看云线索引</w:t>
            </w:r>
          </w:p>
          <w:p>
            <w:pPr>
              <w:jc w:val="left"/>
              <w:rPr>
                <w:rFonts w:hint="eastAsia"/>
                <w:szCs w:val="21"/>
                <w:highlight w:val="none"/>
                <w:lang w:val="en-US" w:eastAsia="zh-CN"/>
              </w:rPr>
            </w:pPr>
          </w:p>
          <w:p>
            <w:pPr>
              <w:jc w:val="left"/>
              <w:rPr>
                <w:rFonts w:hint="eastAsia"/>
                <w:szCs w:val="21"/>
                <w:highlight w:val="none"/>
                <w:lang w:val="en-US" w:eastAsia="zh-CN"/>
              </w:rPr>
            </w:pPr>
          </w:p>
          <w:p>
            <w:pPr>
              <w:jc w:val="left"/>
              <w:rPr>
                <w:rFonts w:hint="eastAsia"/>
                <w:szCs w:val="21"/>
                <w:highlight w:val="none"/>
                <w:lang w:val="en-US" w:eastAsia="zh-CN"/>
              </w:rPr>
            </w:pPr>
          </w:p>
          <w:p>
            <w:pPr>
              <w:jc w:val="left"/>
              <w:rPr>
                <w:rFonts w:hint="eastAsia"/>
                <w:szCs w:val="21"/>
                <w:highlight w:val="none"/>
                <w:lang w:val="en-US" w:eastAsia="zh-CN"/>
              </w:rPr>
            </w:pPr>
          </w:p>
          <w:p>
            <w:pPr>
              <w:jc w:val="left"/>
              <w:rPr>
                <w:rFonts w:hint="eastAsia"/>
                <w:szCs w:val="21"/>
                <w:highlight w:val="none"/>
                <w:lang w:val="en-US" w:eastAsia="zh-CN"/>
              </w:rPr>
            </w:pPr>
          </w:p>
          <w:p>
            <w:pPr>
              <w:jc w:val="left"/>
              <w:rPr>
                <w:rFonts w:hint="eastAsia"/>
                <w:szCs w:val="21"/>
                <w:highlight w:val="none"/>
                <w:lang w:val="en-US" w:eastAsia="zh-CN"/>
              </w:rPr>
            </w:pPr>
          </w:p>
          <w:p>
            <w:pPr>
              <w:jc w:val="left"/>
              <w:rPr>
                <w:rFonts w:hint="eastAsia"/>
                <w:szCs w:val="21"/>
                <w:highlight w:val="none"/>
                <w:lang w:val="en-US" w:eastAsia="zh-CN"/>
              </w:rPr>
            </w:pPr>
            <w:r>
              <w:rPr>
                <w:rFonts w:hint="eastAsia"/>
                <w:szCs w:val="21"/>
                <w:highlight w:val="none"/>
                <w:lang w:val="en-US" w:eastAsia="zh-CN"/>
              </w:rPr>
              <w:t>标黄色部位未修改到位</w:t>
            </w:r>
          </w:p>
          <w:p>
            <w:pPr>
              <w:jc w:val="left"/>
              <w:rPr>
                <w:rFonts w:hint="eastAsia"/>
                <w:szCs w:val="21"/>
                <w:highlight w:val="none"/>
                <w:lang w:val="en-US" w:eastAsia="zh-CN"/>
              </w:rPr>
            </w:pPr>
          </w:p>
          <w:p>
            <w:pPr>
              <w:jc w:val="left"/>
              <w:rPr>
                <w:rFonts w:hint="eastAsia"/>
                <w:szCs w:val="21"/>
                <w:highlight w:val="none"/>
                <w:lang w:val="en-US" w:eastAsia="zh-CN"/>
              </w:rPr>
            </w:pPr>
          </w:p>
          <w:p>
            <w:pPr>
              <w:jc w:val="left"/>
              <w:rPr>
                <w:rFonts w:hint="eastAsia"/>
                <w:szCs w:val="21"/>
                <w:highlight w:val="none"/>
                <w:lang w:val="en-US" w:eastAsia="zh-CN"/>
              </w:rPr>
            </w:pPr>
          </w:p>
          <w:p>
            <w:pPr>
              <w:jc w:val="left"/>
              <w:rPr>
                <w:rFonts w:hint="eastAsia"/>
                <w:szCs w:val="21"/>
                <w:highlight w:val="none"/>
                <w:lang w:val="en-US" w:eastAsia="zh-CN"/>
              </w:rPr>
            </w:pPr>
          </w:p>
          <w:p>
            <w:pPr>
              <w:jc w:val="left"/>
              <w:rPr>
                <w:rFonts w:hint="default"/>
                <w:szCs w:val="21"/>
                <w:highlight w:val="none"/>
                <w:lang w:val="en-US" w:eastAsia="zh-CN"/>
              </w:rPr>
            </w:pPr>
            <w:r>
              <w:rPr>
                <w:rFonts w:hint="eastAsia"/>
                <w:szCs w:val="21"/>
                <w:highlight w:val="none"/>
                <w:lang w:val="en-US" w:eastAsia="zh-CN"/>
              </w:rPr>
              <w:t>7：按意见修改节能照明控制回路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83" w:type="dxa"/>
            <w:noWrap/>
            <w:vAlign w:val="center"/>
          </w:tcPr>
          <w:p>
            <w:pPr>
              <w:jc w:val="center"/>
              <w:rPr>
                <w:sz w:val="24"/>
                <w:highlight w:val="none"/>
              </w:rPr>
            </w:pPr>
            <w:r>
              <w:rPr>
                <w:rFonts w:hint="eastAsia"/>
                <w:sz w:val="24"/>
                <w:highlight w:val="none"/>
              </w:rPr>
              <w:t>三</w:t>
            </w:r>
          </w:p>
        </w:tc>
        <w:tc>
          <w:tcPr>
            <w:tcW w:w="5842" w:type="dxa"/>
            <w:gridSpan w:val="2"/>
            <w:noWrap/>
            <w:vAlign w:val="center"/>
          </w:tcPr>
          <w:p>
            <w:pPr>
              <w:jc w:val="left"/>
              <w:rPr>
                <w:sz w:val="24"/>
                <w:highlight w:val="none"/>
              </w:rPr>
            </w:pPr>
            <w:r>
              <w:rPr>
                <w:rFonts w:hint="eastAsia"/>
                <w:b/>
                <w:bCs/>
                <w:sz w:val="24"/>
                <w:highlight w:val="none"/>
              </w:rPr>
              <w:t>其它方面</w:t>
            </w:r>
          </w:p>
        </w:tc>
        <w:tc>
          <w:tcPr>
            <w:tcW w:w="1815" w:type="dxa"/>
            <w:noWrap/>
            <w:vAlign w:val="center"/>
          </w:tcPr>
          <w:p>
            <w:pPr>
              <w:jc w:val="left"/>
              <w:rPr>
                <w:sz w:val="24"/>
                <w:highlight w:val="none"/>
              </w:rPr>
            </w:pPr>
          </w:p>
        </w:tc>
        <w:tc>
          <w:tcPr>
            <w:tcW w:w="1860" w:type="dxa"/>
            <w:noWrap/>
            <w:vAlign w:val="center"/>
          </w:tcPr>
          <w:p>
            <w:pPr>
              <w:jc w:val="left"/>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83" w:type="dxa"/>
            <w:noWrap/>
            <w:vAlign w:val="center"/>
          </w:tcPr>
          <w:p>
            <w:pPr>
              <w:jc w:val="center"/>
              <w:rPr>
                <w:szCs w:val="21"/>
                <w:highlight w:val="none"/>
              </w:rPr>
            </w:pPr>
            <w:r>
              <w:rPr>
                <w:szCs w:val="21"/>
                <w:highlight w:val="none"/>
              </w:rPr>
              <w:t>1</w:t>
            </w:r>
          </w:p>
        </w:tc>
        <w:tc>
          <w:tcPr>
            <w:tcW w:w="5842" w:type="dxa"/>
            <w:gridSpan w:val="2"/>
            <w:noWrap/>
            <w:vAlign w:val="center"/>
          </w:tcPr>
          <w:p>
            <w:pPr>
              <w:autoSpaceDE w:val="0"/>
              <w:autoSpaceDN w:val="0"/>
              <w:adjustRightInd w:val="0"/>
              <w:jc w:val="left"/>
              <w:rPr>
                <w:rFonts w:ascii="宋体" w:hAnsi="宋体"/>
                <w:bCs/>
                <w:sz w:val="24"/>
                <w:highlight w:val="none"/>
              </w:rPr>
            </w:pPr>
            <w:bookmarkStart w:id="0" w:name="_GoBack"/>
            <w:bookmarkEnd w:id="0"/>
          </w:p>
          <w:p>
            <w:pPr>
              <w:autoSpaceDE w:val="0"/>
              <w:autoSpaceDN w:val="0"/>
              <w:adjustRightInd w:val="0"/>
              <w:jc w:val="left"/>
              <w:rPr>
                <w:szCs w:val="21"/>
                <w:highlight w:val="none"/>
              </w:rPr>
            </w:pPr>
            <w:r>
              <w:rPr>
                <w:rFonts w:ascii="宋体" w:hAnsi="宋体"/>
                <w:bCs/>
                <w:sz w:val="24"/>
                <w:highlight w:val="none"/>
              </w:rPr>
              <w:t>凡修改之处</w:t>
            </w:r>
            <w:r>
              <w:rPr>
                <w:rFonts w:hint="eastAsia" w:ascii="宋体" w:hAnsi="宋体"/>
                <w:bCs/>
                <w:sz w:val="24"/>
                <w:highlight w:val="none"/>
              </w:rPr>
              <w:t>，</w:t>
            </w:r>
            <w:r>
              <w:rPr>
                <w:rFonts w:ascii="宋体" w:hAnsi="宋体"/>
                <w:bCs/>
                <w:sz w:val="24"/>
                <w:highlight w:val="none"/>
              </w:rPr>
              <w:t>必须云线颜色圈出</w:t>
            </w:r>
            <w:r>
              <w:rPr>
                <w:rFonts w:hint="eastAsia" w:ascii="宋体" w:hAnsi="宋体"/>
                <w:bCs/>
                <w:sz w:val="24"/>
                <w:highlight w:val="none"/>
              </w:rPr>
              <w:t>。</w:t>
            </w:r>
          </w:p>
          <w:p>
            <w:pPr>
              <w:jc w:val="left"/>
              <w:rPr>
                <w:szCs w:val="21"/>
                <w:highlight w:val="none"/>
              </w:rPr>
            </w:pPr>
          </w:p>
        </w:tc>
        <w:tc>
          <w:tcPr>
            <w:tcW w:w="1815" w:type="dxa"/>
            <w:noWrap/>
            <w:vAlign w:val="center"/>
          </w:tcPr>
          <w:p>
            <w:pPr>
              <w:jc w:val="left"/>
              <w:rPr>
                <w:rFonts w:hint="default" w:eastAsia="宋体"/>
                <w:szCs w:val="21"/>
                <w:highlight w:val="none"/>
                <w:lang w:val="en-US" w:eastAsia="zh-CN"/>
              </w:rPr>
            </w:pPr>
            <w:r>
              <w:rPr>
                <w:rFonts w:hint="eastAsia"/>
                <w:szCs w:val="21"/>
                <w:highlight w:val="none"/>
                <w:lang w:val="en-US" w:eastAsia="zh-CN"/>
              </w:rPr>
              <w:t>已用云线及索引对应标出</w:t>
            </w:r>
          </w:p>
        </w:tc>
        <w:tc>
          <w:tcPr>
            <w:tcW w:w="1860" w:type="dxa"/>
            <w:noWrap/>
            <w:vAlign w:val="center"/>
          </w:tcPr>
          <w:p>
            <w:pPr>
              <w:jc w:val="lef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0" w:type="dxa"/>
            <w:gridSpan w:val="5"/>
            <w:noWrap/>
            <w:vAlign w:val="center"/>
          </w:tcPr>
          <w:p>
            <w:pPr>
              <w:jc w:val="left"/>
              <w:rPr>
                <w:sz w:val="24"/>
                <w:highlight w:val="none"/>
              </w:rPr>
            </w:pPr>
            <w:r>
              <w:rPr>
                <w:rFonts w:hint="eastAsia"/>
                <w:sz w:val="24"/>
                <w:highlight w:val="none"/>
              </w:rPr>
              <w:t>初审发出日期：年月日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0" w:type="dxa"/>
            <w:gridSpan w:val="5"/>
            <w:noWrap/>
            <w:vAlign w:val="center"/>
          </w:tcPr>
          <w:p>
            <w:pPr>
              <w:jc w:val="left"/>
              <w:rPr>
                <w:sz w:val="24"/>
                <w:highlight w:val="none"/>
              </w:rPr>
            </w:pPr>
            <w:r>
              <w:rPr>
                <w:rFonts w:hint="eastAsia"/>
                <w:sz w:val="24"/>
                <w:highlight w:val="none"/>
              </w:rPr>
              <w:t>复审发出日期：年月日</w:t>
            </w:r>
          </w:p>
        </w:tc>
      </w:tr>
    </w:tbl>
    <w:p>
      <w:pPr>
        <w:ind w:firstLine="480" w:firstLineChars="200"/>
        <w:jc w:val="right"/>
        <w:rPr>
          <w:sz w:val="24"/>
        </w:rPr>
      </w:pPr>
      <w:r>
        <w:rPr>
          <w:rFonts w:hint="eastAsia"/>
          <w:sz w:val="24"/>
        </w:rPr>
        <w:t>第 1 页，共 1 页</w:t>
      </w:r>
    </w:p>
    <w:p>
      <w:pPr>
        <w:jc w:val="left"/>
        <w:rPr>
          <w:sz w:val="24"/>
        </w:rPr>
      </w:pPr>
      <w:r>
        <w:rPr>
          <w:rFonts w:hint="eastAsia"/>
          <w:sz w:val="24"/>
        </w:rPr>
        <w:t>审查人：               设计回复人：</w:t>
      </w:r>
      <w:r>
        <w:rPr>
          <w:rFonts w:hint="eastAsia"/>
          <w:sz w:val="24"/>
          <w:lang w:eastAsia="zh-CN"/>
        </w:rPr>
        <w:t>罗俊文</w:t>
      </w:r>
      <w:r>
        <w:rPr>
          <w:rFonts w:hint="eastAsia"/>
          <w:sz w:val="24"/>
        </w:rPr>
        <w:t xml:space="preserve">                 复审人：</w:t>
      </w:r>
    </w:p>
    <w:p>
      <w:pPr>
        <w:jc w:val="left"/>
        <w:rPr>
          <w:sz w:val="24"/>
        </w:rPr>
      </w:pPr>
      <w:r>
        <w:rPr>
          <w:rFonts w:hint="eastAsia"/>
          <w:sz w:val="24"/>
        </w:rPr>
        <w:t>（签字并加盖审图机构公章）  （签字并加盖设计单位公章）  （签字并加盖审图机构公章）</w:t>
      </w:r>
    </w:p>
    <w:p>
      <w:pPr>
        <w:jc w:val="left"/>
        <w:rPr>
          <w:sz w:val="24"/>
        </w:rPr>
      </w:pPr>
      <w:r>
        <w:rPr>
          <w:rFonts w:hint="eastAsia"/>
          <w:sz w:val="24"/>
        </w:rPr>
        <w:t>联系电话：</w:t>
      </w:r>
      <w:r>
        <w:rPr>
          <w:rFonts w:hint="eastAsia" w:ascii="宋体" w:hAnsi="宋体"/>
          <w:sz w:val="24"/>
        </w:rPr>
        <w:t xml:space="preserve">          </w:t>
      </w:r>
      <w:r>
        <w:rPr>
          <w:rFonts w:hint="eastAsia"/>
          <w:sz w:val="24"/>
        </w:rPr>
        <w:t xml:space="preserve">  联系电话：</w:t>
      </w:r>
      <w:r>
        <w:rPr>
          <w:rFonts w:hint="eastAsia"/>
          <w:sz w:val="24"/>
          <w:lang w:val="en-US" w:eastAsia="zh-CN"/>
        </w:rPr>
        <w:t>18814125971</w:t>
      </w:r>
      <w:r>
        <w:rPr>
          <w:rFonts w:hint="eastAsia"/>
          <w:sz w:val="24"/>
        </w:rPr>
        <w:t xml:space="preserve">                   日期：</w:t>
      </w:r>
    </w:p>
    <w:p>
      <w:pPr>
        <w:jc w:val="left"/>
        <w:rPr>
          <w:sz w:val="24"/>
        </w:rPr>
      </w:pPr>
      <w:r>
        <w:rPr>
          <w:rFonts w:hint="eastAsia"/>
          <w:sz w:val="24"/>
        </w:rPr>
        <w:t>日期：                      日期：</w:t>
      </w:r>
    </w:p>
    <w:p>
      <w:pPr>
        <w:jc w:val="left"/>
        <w:rPr>
          <w:rFonts w:hint="eastAsia" w:ascii="宋体" w:hAnsi="宋体"/>
          <w:sz w:val="24"/>
        </w:rPr>
      </w:pPr>
      <w:r>
        <w:rPr>
          <w:rFonts w:hint="eastAsia" w:ascii="宋体" w:hAnsi="宋体"/>
          <w:sz w:val="18"/>
          <w:szCs w:val="18"/>
        </w:rPr>
        <w:t>注：本单附于审查意见告知书，一式伍份，二份存审查机构，三份交建设单位。</w:t>
      </w:r>
      <w:r>
        <w:rPr>
          <w:rFonts w:hint="eastAsia" w:ascii="宋体" w:hAnsi="宋体"/>
          <w:sz w:val="24"/>
        </w:rPr>
        <w:t xml:space="preserve">  </w:t>
      </w:r>
    </w:p>
    <w:p/>
    <w:p/>
    <w:sectPr>
      <w:headerReference r:id="rId3" w:type="default"/>
      <w:footerReference r:id="rId4" w:type="default"/>
      <w:footerReference r:id="rId5" w:type="even"/>
      <w:pgSz w:w="11906" w:h="16838"/>
      <w:pgMar w:top="1440" w:right="799" w:bottom="930" w:left="79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b/>
        <w:bCs/>
        <w:sz w:val="24"/>
      </w:rPr>
      <w:t>广东省住房和城乡建设厅监制</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b/>
        <w:bCs/>
        <w:sz w:val="24"/>
      </w:rPr>
      <w:t>广东省住房和城乡建设厅监制</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ascii="仿宋" w:hAnsi="仿宋" w:eastAsia="仿宋" w:cs="仿宋"/>
        <w:sz w:val="28"/>
        <w:szCs w:val="28"/>
      </w:rPr>
      <w:t>附件2：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E87FE2"/>
    <w:multiLevelType w:val="multilevel"/>
    <w:tmpl w:val="5CE87FE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iY2YyYjljNGNkY2YzMjdlOTVhYmRkYTk0YmY2YmEifQ=="/>
    <w:docVar w:name="KSO_WPS_MARK_KEY" w:val="621ba0e4-d483-443d-aee9-7ae248aaa5aa"/>
  </w:docVars>
  <w:rsids>
    <w:rsidRoot w:val="00172A27"/>
    <w:rsid w:val="0000574E"/>
    <w:rsid w:val="000069F8"/>
    <w:rsid w:val="00011222"/>
    <w:rsid w:val="000116C9"/>
    <w:rsid w:val="000142D9"/>
    <w:rsid w:val="000149D4"/>
    <w:rsid w:val="000218DE"/>
    <w:rsid w:val="00033B17"/>
    <w:rsid w:val="00044C70"/>
    <w:rsid w:val="000527B4"/>
    <w:rsid w:val="000713FD"/>
    <w:rsid w:val="0007641F"/>
    <w:rsid w:val="000829F0"/>
    <w:rsid w:val="00085B52"/>
    <w:rsid w:val="000904FA"/>
    <w:rsid w:val="00090B2F"/>
    <w:rsid w:val="000A4164"/>
    <w:rsid w:val="000A5BD7"/>
    <w:rsid w:val="000A694B"/>
    <w:rsid w:val="000B4483"/>
    <w:rsid w:val="000C017A"/>
    <w:rsid w:val="000C3F05"/>
    <w:rsid w:val="000C5D8A"/>
    <w:rsid w:val="000C759D"/>
    <w:rsid w:val="000D12EE"/>
    <w:rsid w:val="000D2C8E"/>
    <w:rsid w:val="000D58AF"/>
    <w:rsid w:val="000F0F05"/>
    <w:rsid w:val="000F5642"/>
    <w:rsid w:val="000F7FE4"/>
    <w:rsid w:val="0010414E"/>
    <w:rsid w:val="00106DEF"/>
    <w:rsid w:val="0011787A"/>
    <w:rsid w:val="001241AB"/>
    <w:rsid w:val="00131421"/>
    <w:rsid w:val="001352F2"/>
    <w:rsid w:val="001423AD"/>
    <w:rsid w:val="00143E29"/>
    <w:rsid w:val="0014588B"/>
    <w:rsid w:val="00146239"/>
    <w:rsid w:val="00155256"/>
    <w:rsid w:val="001565C9"/>
    <w:rsid w:val="00164119"/>
    <w:rsid w:val="001653A0"/>
    <w:rsid w:val="00165CF2"/>
    <w:rsid w:val="00171B46"/>
    <w:rsid w:val="00172A27"/>
    <w:rsid w:val="00172BD1"/>
    <w:rsid w:val="001736F1"/>
    <w:rsid w:val="00180473"/>
    <w:rsid w:val="00183315"/>
    <w:rsid w:val="00186AFB"/>
    <w:rsid w:val="001876AA"/>
    <w:rsid w:val="0019359F"/>
    <w:rsid w:val="001A0627"/>
    <w:rsid w:val="001A19BE"/>
    <w:rsid w:val="001B00D1"/>
    <w:rsid w:val="001B4853"/>
    <w:rsid w:val="001C58C8"/>
    <w:rsid w:val="001C604E"/>
    <w:rsid w:val="001D117D"/>
    <w:rsid w:val="001D6210"/>
    <w:rsid w:val="001E5FDD"/>
    <w:rsid w:val="001E74F7"/>
    <w:rsid w:val="001F308C"/>
    <w:rsid w:val="001F572E"/>
    <w:rsid w:val="00212D0A"/>
    <w:rsid w:val="002166F9"/>
    <w:rsid w:val="00242E7C"/>
    <w:rsid w:val="00246E9A"/>
    <w:rsid w:val="00251BB1"/>
    <w:rsid w:val="00265E11"/>
    <w:rsid w:val="00272033"/>
    <w:rsid w:val="00282B1A"/>
    <w:rsid w:val="00291FFD"/>
    <w:rsid w:val="002A393E"/>
    <w:rsid w:val="002A71AB"/>
    <w:rsid w:val="002A7718"/>
    <w:rsid w:val="002A7D35"/>
    <w:rsid w:val="002B2170"/>
    <w:rsid w:val="002B2C01"/>
    <w:rsid w:val="002C3E17"/>
    <w:rsid w:val="002D0715"/>
    <w:rsid w:val="002D76AC"/>
    <w:rsid w:val="002E0F49"/>
    <w:rsid w:val="002E3819"/>
    <w:rsid w:val="002F6EF3"/>
    <w:rsid w:val="002F6EFD"/>
    <w:rsid w:val="00303432"/>
    <w:rsid w:val="00303B92"/>
    <w:rsid w:val="003110E2"/>
    <w:rsid w:val="0031393C"/>
    <w:rsid w:val="0031689F"/>
    <w:rsid w:val="00326F26"/>
    <w:rsid w:val="00336A55"/>
    <w:rsid w:val="00340B18"/>
    <w:rsid w:val="00340B2C"/>
    <w:rsid w:val="00345065"/>
    <w:rsid w:val="00345A98"/>
    <w:rsid w:val="003462F0"/>
    <w:rsid w:val="00346905"/>
    <w:rsid w:val="00351842"/>
    <w:rsid w:val="00372DB2"/>
    <w:rsid w:val="00384A24"/>
    <w:rsid w:val="00387A16"/>
    <w:rsid w:val="003922E9"/>
    <w:rsid w:val="003B26B3"/>
    <w:rsid w:val="003C0228"/>
    <w:rsid w:val="003D543D"/>
    <w:rsid w:val="00406F5D"/>
    <w:rsid w:val="004132C7"/>
    <w:rsid w:val="00416E85"/>
    <w:rsid w:val="0043358F"/>
    <w:rsid w:val="00435FED"/>
    <w:rsid w:val="0043763E"/>
    <w:rsid w:val="004413E4"/>
    <w:rsid w:val="00443714"/>
    <w:rsid w:val="00444E30"/>
    <w:rsid w:val="00452463"/>
    <w:rsid w:val="004574EB"/>
    <w:rsid w:val="00465D4F"/>
    <w:rsid w:val="004674CB"/>
    <w:rsid w:val="0047138B"/>
    <w:rsid w:val="004757EE"/>
    <w:rsid w:val="00476634"/>
    <w:rsid w:val="00476A89"/>
    <w:rsid w:val="00480374"/>
    <w:rsid w:val="00487B4D"/>
    <w:rsid w:val="00493E44"/>
    <w:rsid w:val="00497761"/>
    <w:rsid w:val="004B16BC"/>
    <w:rsid w:val="004B4649"/>
    <w:rsid w:val="004C70F5"/>
    <w:rsid w:val="004D1E63"/>
    <w:rsid w:val="004F1BF4"/>
    <w:rsid w:val="004F41F8"/>
    <w:rsid w:val="005141B2"/>
    <w:rsid w:val="0051560F"/>
    <w:rsid w:val="00533A86"/>
    <w:rsid w:val="00533F64"/>
    <w:rsid w:val="00535FE0"/>
    <w:rsid w:val="00540805"/>
    <w:rsid w:val="00551EA5"/>
    <w:rsid w:val="00556A46"/>
    <w:rsid w:val="00571035"/>
    <w:rsid w:val="00571166"/>
    <w:rsid w:val="00571C5C"/>
    <w:rsid w:val="00575087"/>
    <w:rsid w:val="0059137F"/>
    <w:rsid w:val="00593601"/>
    <w:rsid w:val="005A712A"/>
    <w:rsid w:val="005B11F4"/>
    <w:rsid w:val="005B3045"/>
    <w:rsid w:val="005B33D0"/>
    <w:rsid w:val="005C741A"/>
    <w:rsid w:val="005C79D1"/>
    <w:rsid w:val="005D0C9E"/>
    <w:rsid w:val="005D3E39"/>
    <w:rsid w:val="005D4846"/>
    <w:rsid w:val="005E047C"/>
    <w:rsid w:val="005F6925"/>
    <w:rsid w:val="005F7B16"/>
    <w:rsid w:val="00612417"/>
    <w:rsid w:val="00616491"/>
    <w:rsid w:val="00623604"/>
    <w:rsid w:val="0063118F"/>
    <w:rsid w:val="00633233"/>
    <w:rsid w:val="00634D11"/>
    <w:rsid w:val="00637407"/>
    <w:rsid w:val="00637EC9"/>
    <w:rsid w:val="0064203F"/>
    <w:rsid w:val="00642BB1"/>
    <w:rsid w:val="00642BC8"/>
    <w:rsid w:val="006455D1"/>
    <w:rsid w:val="00651EA9"/>
    <w:rsid w:val="00652DC9"/>
    <w:rsid w:val="006541C8"/>
    <w:rsid w:val="00654DD3"/>
    <w:rsid w:val="00665DDA"/>
    <w:rsid w:val="00670BE0"/>
    <w:rsid w:val="0067104F"/>
    <w:rsid w:val="00684371"/>
    <w:rsid w:val="00687541"/>
    <w:rsid w:val="00691B9E"/>
    <w:rsid w:val="006A4888"/>
    <w:rsid w:val="006A6BAC"/>
    <w:rsid w:val="006B2D6E"/>
    <w:rsid w:val="006B6A7C"/>
    <w:rsid w:val="006C3A41"/>
    <w:rsid w:val="006C60E3"/>
    <w:rsid w:val="006C659D"/>
    <w:rsid w:val="006C7735"/>
    <w:rsid w:val="006E40C5"/>
    <w:rsid w:val="006F1B36"/>
    <w:rsid w:val="006F37B4"/>
    <w:rsid w:val="006F561C"/>
    <w:rsid w:val="00700A50"/>
    <w:rsid w:val="0071122E"/>
    <w:rsid w:val="007139AD"/>
    <w:rsid w:val="00715549"/>
    <w:rsid w:val="0071762C"/>
    <w:rsid w:val="00721A85"/>
    <w:rsid w:val="00723FEE"/>
    <w:rsid w:val="00725667"/>
    <w:rsid w:val="0072673D"/>
    <w:rsid w:val="00754F8F"/>
    <w:rsid w:val="0076229D"/>
    <w:rsid w:val="007657EA"/>
    <w:rsid w:val="00782F01"/>
    <w:rsid w:val="00785322"/>
    <w:rsid w:val="00787256"/>
    <w:rsid w:val="007933BE"/>
    <w:rsid w:val="007A02FA"/>
    <w:rsid w:val="007A642C"/>
    <w:rsid w:val="007B2E31"/>
    <w:rsid w:val="007B4A18"/>
    <w:rsid w:val="007C1097"/>
    <w:rsid w:val="007C57FD"/>
    <w:rsid w:val="007D75DF"/>
    <w:rsid w:val="007F2F9B"/>
    <w:rsid w:val="007F41B6"/>
    <w:rsid w:val="007F4F62"/>
    <w:rsid w:val="00805C96"/>
    <w:rsid w:val="00807674"/>
    <w:rsid w:val="00812274"/>
    <w:rsid w:val="0081332B"/>
    <w:rsid w:val="008177A7"/>
    <w:rsid w:val="00820644"/>
    <w:rsid w:val="00820695"/>
    <w:rsid w:val="008240DD"/>
    <w:rsid w:val="00824D65"/>
    <w:rsid w:val="00825414"/>
    <w:rsid w:val="00826DFF"/>
    <w:rsid w:val="00830935"/>
    <w:rsid w:val="00837232"/>
    <w:rsid w:val="00841CBE"/>
    <w:rsid w:val="00862D5D"/>
    <w:rsid w:val="00867117"/>
    <w:rsid w:val="008719D3"/>
    <w:rsid w:val="008819B8"/>
    <w:rsid w:val="00892632"/>
    <w:rsid w:val="008A2660"/>
    <w:rsid w:val="008A4D26"/>
    <w:rsid w:val="008A7E29"/>
    <w:rsid w:val="008B105D"/>
    <w:rsid w:val="008B14B8"/>
    <w:rsid w:val="008B1D39"/>
    <w:rsid w:val="008B4C32"/>
    <w:rsid w:val="008B6899"/>
    <w:rsid w:val="008E06A7"/>
    <w:rsid w:val="008E0F66"/>
    <w:rsid w:val="008E3366"/>
    <w:rsid w:val="008E34A6"/>
    <w:rsid w:val="008E4BF4"/>
    <w:rsid w:val="008F0BF8"/>
    <w:rsid w:val="008F467F"/>
    <w:rsid w:val="00900353"/>
    <w:rsid w:val="00902B97"/>
    <w:rsid w:val="00914F92"/>
    <w:rsid w:val="00922FEB"/>
    <w:rsid w:val="009360CB"/>
    <w:rsid w:val="0095095A"/>
    <w:rsid w:val="00951259"/>
    <w:rsid w:val="00951F05"/>
    <w:rsid w:val="009530C2"/>
    <w:rsid w:val="00954029"/>
    <w:rsid w:val="00954DED"/>
    <w:rsid w:val="00972F06"/>
    <w:rsid w:val="00977179"/>
    <w:rsid w:val="009823ED"/>
    <w:rsid w:val="00983E32"/>
    <w:rsid w:val="00987A55"/>
    <w:rsid w:val="00991362"/>
    <w:rsid w:val="0099448A"/>
    <w:rsid w:val="00994E4E"/>
    <w:rsid w:val="009A02B7"/>
    <w:rsid w:val="009A03FF"/>
    <w:rsid w:val="009A4A47"/>
    <w:rsid w:val="009A6F44"/>
    <w:rsid w:val="009A74F2"/>
    <w:rsid w:val="009C6961"/>
    <w:rsid w:val="009D02B2"/>
    <w:rsid w:val="009E4EE0"/>
    <w:rsid w:val="009F3192"/>
    <w:rsid w:val="00A2127B"/>
    <w:rsid w:val="00A23118"/>
    <w:rsid w:val="00A334F5"/>
    <w:rsid w:val="00A35230"/>
    <w:rsid w:val="00A42A65"/>
    <w:rsid w:val="00A461F9"/>
    <w:rsid w:val="00A5487D"/>
    <w:rsid w:val="00A73594"/>
    <w:rsid w:val="00A74E4B"/>
    <w:rsid w:val="00A80798"/>
    <w:rsid w:val="00A861C6"/>
    <w:rsid w:val="00A91539"/>
    <w:rsid w:val="00AA1DA6"/>
    <w:rsid w:val="00AA4669"/>
    <w:rsid w:val="00AA49CA"/>
    <w:rsid w:val="00AB39DE"/>
    <w:rsid w:val="00AC7093"/>
    <w:rsid w:val="00AC7FD0"/>
    <w:rsid w:val="00AF4A28"/>
    <w:rsid w:val="00AF7D35"/>
    <w:rsid w:val="00B04ACF"/>
    <w:rsid w:val="00B05E23"/>
    <w:rsid w:val="00B14145"/>
    <w:rsid w:val="00B35DB4"/>
    <w:rsid w:val="00B54BFB"/>
    <w:rsid w:val="00B60693"/>
    <w:rsid w:val="00B7335F"/>
    <w:rsid w:val="00B81842"/>
    <w:rsid w:val="00B925FA"/>
    <w:rsid w:val="00B93375"/>
    <w:rsid w:val="00BB4468"/>
    <w:rsid w:val="00BB4ABA"/>
    <w:rsid w:val="00BB5CB0"/>
    <w:rsid w:val="00BC4985"/>
    <w:rsid w:val="00BD0D6D"/>
    <w:rsid w:val="00BD727A"/>
    <w:rsid w:val="00BF55C2"/>
    <w:rsid w:val="00BF6246"/>
    <w:rsid w:val="00C07A51"/>
    <w:rsid w:val="00C102CD"/>
    <w:rsid w:val="00C26220"/>
    <w:rsid w:val="00C27CCA"/>
    <w:rsid w:val="00C45658"/>
    <w:rsid w:val="00C53554"/>
    <w:rsid w:val="00C53C48"/>
    <w:rsid w:val="00C5500D"/>
    <w:rsid w:val="00C579E6"/>
    <w:rsid w:val="00C62362"/>
    <w:rsid w:val="00C7276A"/>
    <w:rsid w:val="00C8213D"/>
    <w:rsid w:val="00C93A74"/>
    <w:rsid w:val="00CA1760"/>
    <w:rsid w:val="00CA48BF"/>
    <w:rsid w:val="00CB6479"/>
    <w:rsid w:val="00CC786A"/>
    <w:rsid w:val="00CD1A83"/>
    <w:rsid w:val="00CD2C2B"/>
    <w:rsid w:val="00CD41B8"/>
    <w:rsid w:val="00D10009"/>
    <w:rsid w:val="00D44E5C"/>
    <w:rsid w:val="00D45D7E"/>
    <w:rsid w:val="00D46111"/>
    <w:rsid w:val="00D60680"/>
    <w:rsid w:val="00D60E16"/>
    <w:rsid w:val="00D7394F"/>
    <w:rsid w:val="00D75C3E"/>
    <w:rsid w:val="00D80A57"/>
    <w:rsid w:val="00D869BE"/>
    <w:rsid w:val="00D911C6"/>
    <w:rsid w:val="00DB43A4"/>
    <w:rsid w:val="00DD05C6"/>
    <w:rsid w:val="00DD1A40"/>
    <w:rsid w:val="00DE0EA4"/>
    <w:rsid w:val="00DE1063"/>
    <w:rsid w:val="00DE493A"/>
    <w:rsid w:val="00DF2A04"/>
    <w:rsid w:val="00E003CD"/>
    <w:rsid w:val="00E12909"/>
    <w:rsid w:val="00E142DC"/>
    <w:rsid w:val="00E412B5"/>
    <w:rsid w:val="00E524C8"/>
    <w:rsid w:val="00E53DBE"/>
    <w:rsid w:val="00E7217E"/>
    <w:rsid w:val="00E779F7"/>
    <w:rsid w:val="00E86E0F"/>
    <w:rsid w:val="00E9338F"/>
    <w:rsid w:val="00E93ADB"/>
    <w:rsid w:val="00EB240A"/>
    <w:rsid w:val="00EB282E"/>
    <w:rsid w:val="00EB5DA9"/>
    <w:rsid w:val="00EC0563"/>
    <w:rsid w:val="00EC1673"/>
    <w:rsid w:val="00ED0A14"/>
    <w:rsid w:val="00EE5CF7"/>
    <w:rsid w:val="00EF299E"/>
    <w:rsid w:val="00F0526C"/>
    <w:rsid w:val="00F16704"/>
    <w:rsid w:val="00F374A9"/>
    <w:rsid w:val="00F46737"/>
    <w:rsid w:val="00F507BC"/>
    <w:rsid w:val="00F5266F"/>
    <w:rsid w:val="00F53659"/>
    <w:rsid w:val="00F67E53"/>
    <w:rsid w:val="00F7380C"/>
    <w:rsid w:val="00F81460"/>
    <w:rsid w:val="00F90FE3"/>
    <w:rsid w:val="00F93909"/>
    <w:rsid w:val="00FA7195"/>
    <w:rsid w:val="00FA77FE"/>
    <w:rsid w:val="00FB48EE"/>
    <w:rsid w:val="00FC2971"/>
    <w:rsid w:val="00FD14DE"/>
    <w:rsid w:val="00FD4512"/>
    <w:rsid w:val="00FE2BC7"/>
    <w:rsid w:val="00FF23F9"/>
    <w:rsid w:val="00FF6DD1"/>
    <w:rsid w:val="01B024CE"/>
    <w:rsid w:val="01F304E5"/>
    <w:rsid w:val="027D0521"/>
    <w:rsid w:val="02EB05EB"/>
    <w:rsid w:val="03CF3A69"/>
    <w:rsid w:val="046643CE"/>
    <w:rsid w:val="06CD24E2"/>
    <w:rsid w:val="07384F6C"/>
    <w:rsid w:val="07BF0A08"/>
    <w:rsid w:val="08602610"/>
    <w:rsid w:val="0886316A"/>
    <w:rsid w:val="0EB01F1A"/>
    <w:rsid w:val="0F9C7F4A"/>
    <w:rsid w:val="10FC7FAB"/>
    <w:rsid w:val="139C123E"/>
    <w:rsid w:val="15B52312"/>
    <w:rsid w:val="17621831"/>
    <w:rsid w:val="17A2583C"/>
    <w:rsid w:val="18316649"/>
    <w:rsid w:val="189D68C0"/>
    <w:rsid w:val="1AD47FB3"/>
    <w:rsid w:val="1B1D3BD1"/>
    <w:rsid w:val="1BC00F70"/>
    <w:rsid w:val="1E644592"/>
    <w:rsid w:val="242C2D47"/>
    <w:rsid w:val="245E07C6"/>
    <w:rsid w:val="249C0E13"/>
    <w:rsid w:val="28B2620B"/>
    <w:rsid w:val="2AD01CF1"/>
    <w:rsid w:val="2E596AA1"/>
    <w:rsid w:val="312B3DEA"/>
    <w:rsid w:val="31EA5E13"/>
    <w:rsid w:val="32E52226"/>
    <w:rsid w:val="332A087C"/>
    <w:rsid w:val="34254E5C"/>
    <w:rsid w:val="364E1E8F"/>
    <w:rsid w:val="376E4CAB"/>
    <w:rsid w:val="37BD10A7"/>
    <w:rsid w:val="37F23210"/>
    <w:rsid w:val="39F71BD4"/>
    <w:rsid w:val="41D909E9"/>
    <w:rsid w:val="47616890"/>
    <w:rsid w:val="47E26E94"/>
    <w:rsid w:val="4A8C31A5"/>
    <w:rsid w:val="4ED66FAF"/>
    <w:rsid w:val="4F03658F"/>
    <w:rsid w:val="4F9C4AA1"/>
    <w:rsid w:val="505C355C"/>
    <w:rsid w:val="51C613F2"/>
    <w:rsid w:val="529616ED"/>
    <w:rsid w:val="54815C87"/>
    <w:rsid w:val="5541723B"/>
    <w:rsid w:val="55BE5FE5"/>
    <w:rsid w:val="58675193"/>
    <w:rsid w:val="59113CF2"/>
    <w:rsid w:val="5962713A"/>
    <w:rsid w:val="5A9E7312"/>
    <w:rsid w:val="5B40120A"/>
    <w:rsid w:val="5BB00377"/>
    <w:rsid w:val="5E987A67"/>
    <w:rsid w:val="630755A9"/>
    <w:rsid w:val="64400BE9"/>
    <w:rsid w:val="651E49F1"/>
    <w:rsid w:val="65B47CBF"/>
    <w:rsid w:val="65F77B57"/>
    <w:rsid w:val="6665143E"/>
    <w:rsid w:val="668D2269"/>
    <w:rsid w:val="66F57C08"/>
    <w:rsid w:val="67433AB8"/>
    <w:rsid w:val="67475A7E"/>
    <w:rsid w:val="68E819D9"/>
    <w:rsid w:val="699A7EB6"/>
    <w:rsid w:val="69EF0248"/>
    <w:rsid w:val="6B8A7F87"/>
    <w:rsid w:val="6DCF760B"/>
    <w:rsid w:val="70EE6089"/>
    <w:rsid w:val="72E820D1"/>
    <w:rsid w:val="737B3902"/>
    <w:rsid w:val="76BF12B2"/>
    <w:rsid w:val="77E66AAB"/>
    <w:rsid w:val="7CD44690"/>
    <w:rsid w:val="7F6B78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qFormat="1"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7">
    <w:name w:val="Strong"/>
    <w:qFormat/>
    <w:uiPriority w:val="22"/>
    <w:rPr>
      <w:b/>
    </w:rPr>
  </w:style>
  <w:style w:type="character" w:styleId="8">
    <w:name w:val="FollowedHyperlink"/>
    <w:basedOn w:val="6"/>
    <w:semiHidden/>
    <w:unhideWhenUsed/>
    <w:qFormat/>
    <w:uiPriority w:val="0"/>
    <w:rPr>
      <w:color w:val="0000CC"/>
      <w:sz w:val="22"/>
      <w:szCs w:val="22"/>
      <w:u w:val="single"/>
    </w:rPr>
  </w:style>
  <w:style w:type="character" w:styleId="9">
    <w:name w:val="Emphasis"/>
    <w:basedOn w:val="6"/>
    <w:qFormat/>
    <w:uiPriority w:val="20"/>
    <w:rPr>
      <w:i/>
    </w:rPr>
  </w:style>
  <w:style w:type="character" w:styleId="10">
    <w:name w:val="Hyperlink"/>
    <w:basedOn w:val="6"/>
    <w:semiHidden/>
    <w:unhideWhenUsed/>
    <w:qFormat/>
    <w:uiPriority w:val="0"/>
    <w:rPr>
      <w:b/>
      <w:bCs/>
      <w:color w:val="0000CC"/>
      <w:sz w:val="22"/>
      <w:szCs w:val="22"/>
      <w:u w:val="single"/>
    </w:rPr>
  </w:style>
  <w:style w:type="paragraph" w:styleId="11">
    <w:name w:val="List Paragraph"/>
    <w:basedOn w:val="1"/>
    <w:qFormat/>
    <w:uiPriority w:val="34"/>
    <w:pPr>
      <w:ind w:firstLine="420" w:firstLineChars="200"/>
    </w:pPr>
    <w:rPr>
      <w:rFonts w:ascii="Calibri" w:hAnsi="Calibri"/>
      <w:szCs w:val="22"/>
    </w:rPr>
  </w:style>
  <w:style w:type="character" w:customStyle="1" w:styleId="12">
    <w:name w:val="页脚 Char"/>
    <w:basedOn w:val="6"/>
    <w:link w:val="2"/>
    <w:qFormat/>
    <w:uiPriority w:val="0"/>
    <w:rPr>
      <w:kern w:val="2"/>
      <w:sz w:val="18"/>
      <w:szCs w:val="18"/>
    </w:rPr>
  </w:style>
  <w:style w:type="character" w:customStyle="1" w:styleId="13">
    <w:name w:val="fw2"/>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32006-9899-4A62-B95D-10F0F9230AAE}">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1323</Words>
  <Characters>1493</Characters>
  <Lines>16</Lines>
  <Paragraphs>4</Paragraphs>
  <TotalTime>90</TotalTime>
  <ScaleCrop>false</ScaleCrop>
  <LinksUpToDate>false</LinksUpToDate>
  <CharactersWithSpaces>1602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2021-04-02T08:17:00Z</dcterms:created>
  <dc:creator>老霉</dc:creator>
  <cp:lastModifiedBy>阿拉</cp:lastModifiedBy>
  <dcterms:modified xsi:type="dcterms:W3CDTF">2023-05-24T14:08:42Z</dcterms:modified>
  <cp:revision>279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0A57352DDBAE4811BB53A40FD8C06389_13</vt:lpwstr>
  </property>
</Properties>
</file>